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271" w:rsidRDefault="00E50271" w:rsidP="00E50271">
      <w:pPr>
        <w:pStyle w:val="Style23"/>
        <w:widowControl/>
        <w:jc w:val="both"/>
        <w:rPr>
          <w:rStyle w:val="FontStyle295"/>
          <w:sz w:val="28"/>
          <w:szCs w:val="28"/>
        </w:rPr>
      </w:pPr>
    </w:p>
    <w:p w:rsidR="00F16108" w:rsidRDefault="00F16108" w:rsidP="00E50271">
      <w:pPr>
        <w:pStyle w:val="Style23"/>
        <w:widowControl/>
        <w:jc w:val="center"/>
        <w:rPr>
          <w:rStyle w:val="FontStyle295"/>
          <w:sz w:val="28"/>
          <w:szCs w:val="28"/>
        </w:rPr>
      </w:pPr>
      <w:r w:rsidRPr="008D2FD7">
        <w:rPr>
          <w:rStyle w:val="FontStyle295"/>
          <w:sz w:val="28"/>
          <w:szCs w:val="28"/>
        </w:rPr>
        <w:t>Introduction générale</w:t>
      </w:r>
    </w:p>
    <w:p w:rsidR="00F16108" w:rsidRDefault="00F16108" w:rsidP="00F16108">
      <w:pPr>
        <w:pStyle w:val="Style20"/>
        <w:widowControl/>
        <w:spacing w:before="187" w:line="360" w:lineRule="auto"/>
        <w:ind w:firstLine="355"/>
        <w:rPr>
          <w:rStyle w:val="FontStyle301"/>
          <w:sz w:val="24"/>
          <w:szCs w:val="24"/>
        </w:rPr>
      </w:pPr>
    </w:p>
    <w:p w:rsidR="00F16108" w:rsidRPr="00F16108" w:rsidRDefault="00E50271" w:rsidP="00F16108">
      <w:pPr>
        <w:pStyle w:val="Style20"/>
        <w:widowControl/>
        <w:spacing w:before="187" w:line="360" w:lineRule="auto"/>
        <w:ind w:firstLine="0"/>
        <w:rPr>
          <w:rStyle w:val="FontStyle301"/>
          <w:sz w:val="24"/>
          <w:szCs w:val="24"/>
        </w:rPr>
      </w:pPr>
      <w:r>
        <w:rPr>
          <w:rStyle w:val="FontStyle301"/>
          <w:sz w:val="24"/>
          <w:szCs w:val="24"/>
        </w:rPr>
        <w:t xml:space="preserve">       </w:t>
      </w:r>
      <w:r w:rsidR="00F16108">
        <w:rPr>
          <w:rStyle w:val="FontStyle301"/>
          <w:sz w:val="24"/>
          <w:szCs w:val="24"/>
        </w:rPr>
        <w:t xml:space="preserve"> </w:t>
      </w:r>
      <w:r w:rsidR="00F16108" w:rsidRPr="00F16108">
        <w:rPr>
          <w:rStyle w:val="FontStyle301"/>
          <w:sz w:val="24"/>
          <w:szCs w:val="24"/>
        </w:rPr>
        <w:t>L'énergie est la base de toute activité humaine. De nos jours, une grande partie de la demande mondiale en énergie est assurée à partir de ressources fossiles. Cependant, les réserves de combustibles fossiles sont limitées. Certains pays développés se sont orientés vers l'énergie nucléaire, alors que cette dernière n'est pas à la portée de tous les états et surtout des pays en voie de développement et présente des risques d'accidents graves.</w:t>
      </w:r>
    </w:p>
    <w:p w:rsidR="00F16108" w:rsidRPr="00F16108" w:rsidRDefault="00F16108" w:rsidP="00F16108">
      <w:pPr>
        <w:pStyle w:val="Style20"/>
        <w:widowControl/>
        <w:spacing w:before="115" w:line="360" w:lineRule="auto"/>
        <w:ind w:firstLine="355"/>
        <w:rPr>
          <w:rStyle w:val="FontStyle301"/>
          <w:sz w:val="24"/>
          <w:szCs w:val="24"/>
        </w:rPr>
      </w:pPr>
      <w:r w:rsidRPr="00F16108">
        <w:rPr>
          <w:rStyle w:val="FontStyle301"/>
          <w:sz w:val="24"/>
          <w:szCs w:val="24"/>
        </w:rPr>
        <w:t>En effet, la croissance de la demande énergétique mondiale, l'épuisement inévitable des ressources fossiles, à court ou long terme, et la détérioration de l'environnement causée par ces types d'énergies, a encouragé la croissance de nouvelles sources d'énergies, renouvelables, assurant ainsi une durabilité et une protection de l'environnement qui est devenue un point très important.</w:t>
      </w:r>
    </w:p>
    <w:p w:rsidR="00F16108" w:rsidRPr="00F16108" w:rsidRDefault="00F16108" w:rsidP="00F16108">
      <w:pPr>
        <w:pStyle w:val="Style20"/>
        <w:widowControl/>
        <w:spacing w:before="120" w:line="360" w:lineRule="auto"/>
        <w:ind w:right="19" w:firstLine="355"/>
        <w:rPr>
          <w:rStyle w:val="FontStyle301"/>
          <w:sz w:val="24"/>
          <w:szCs w:val="24"/>
        </w:rPr>
      </w:pPr>
      <w:r w:rsidRPr="00F16108">
        <w:rPr>
          <w:rStyle w:val="FontStyle301"/>
          <w:sz w:val="24"/>
          <w:szCs w:val="24"/>
        </w:rPr>
        <w:t xml:space="preserve">L'utilisation de l'énergie solaire paraît être une exigence pour l'avenir. En effet, le rayonnement solaire constitue la ressource énergétique la plus abondante sur terre. La quantité d'énergie libérée par le soleil (captée par la planète terre) pendant une heure pourrait suffire à couvrir les nécessités énergétiques mondiaux pendant une </w:t>
      </w:r>
      <w:r w:rsidR="00F71431" w:rsidRPr="00F16108">
        <w:rPr>
          <w:rStyle w:val="FontStyle301"/>
          <w:sz w:val="24"/>
          <w:szCs w:val="24"/>
        </w:rPr>
        <w:t>année</w:t>
      </w:r>
      <w:r w:rsidR="00F71431" w:rsidRPr="00826926">
        <w:rPr>
          <w:rStyle w:val="FontStyle301"/>
        </w:rPr>
        <w:t xml:space="preserve"> [1].</w:t>
      </w:r>
    </w:p>
    <w:p w:rsidR="00F16108" w:rsidRPr="00F16108" w:rsidRDefault="00F16108" w:rsidP="00035CDE">
      <w:pPr>
        <w:pStyle w:val="Style20"/>
        <w:widowControl/>
        <w:spacing w:before="120" w:line="360" w:lineRule="auto"/>
        <w:ind w:right="19" w:firstLine="355"/>
        <w:rPr>
          <w:rStyle w:val="FontStyle301"/>
          <w:sz w:val="24"/>
          <w:szCs w:val="24"/>
        </w:rPr>
      </w:pPr>
      <w:r w:rsidRPr="00F16108">
        <w:rPr>
          <w:rStyle w:val="FontStyle301"/>
          <w:sz w:val="24"/>
          <w:szCs w:val="24"/>
        </w:rPr>
        <w:t xml:space="preserve">Afin de mieux profiter de cette énergie et optimiser sa collecte par les capteurs </w:t>
      </w:r>
      <w:r w:rsidR="00035CDE">
        <w:rPr>
          <w:rStyle w:val="FontStyle301"/>
          <w:color w:val="FF0000"/>
          <w:sz w:val="24"/>
          <w:szCs w:val="24"/>
        </w:rPr>
        <w:t>solaire</w:t>
      </w:r>
      <w:r w:rsidRPr="00F16108">
        <w:rPr>
          <w:rStyle w:val="FontStyle301"/>
          <w:sz w:val="24"/>
          <w:szCs w:val="24"/>
        </w:rPr>
        <w:t>, il est nécessaire de connaître la distribution de l'irradiation solaire sur le lieu de l'implantation prévu pour l'installation photovoltaïque, sous différentes orientations et inclinaisons.</w:t>
      </w:r>
    </w:p>
    <w:p w:rsidR="00F16108" w:rsidRPr="00F16108" w:rsidRDefault="00F16108" w:rsidP="00F16108">
      <w:pPr>
        <w:pStyle w:val="Pa4"/>
        <w:spacing w:before="240" w:line="360" w:lineRule="auto"/>
        <w:ind w:firstLine="355"/>
        <w:jc w:val="both"/>
        <w:rPr>
          <w:rFonts w:ascii="Times New Roman" w:eastAsia="Times New Roman" w:hAnsi="Times New Roman" w:cs="Times New Roman"/>
          <w:color w:val="000000"/>
          <w:lang w:val="fr-FR" w:eastAsia="fr-FR"/>
        </w:rPr>
      </w:pPr>
      <w:r w:rsidRPr="00F16108">
        <w:rPr>
          <w:rStyle w:val="FontStyle301"/>
          <w:rFonts w:eastAsia="Times New Roman"/>
          <w:sz w:val="24"/>
          <w:szCs w:val="24"/>
          <w:lang w:val="fr-FR"/>
        </w:rPr>
        <w:t>Pour l’Algérie, les énergies renouvelables est une priorité, l’état</w:t>
      </w:r>
      <w:r w:rsidRPr="00F16108">
        <w:rPr>
          <w:rFonts w:ascii="Times New Roman" w:eastAsia="Times New Roman" w:hAnsi="Times New Roman" w:cs="Times New Roman"/>
          <w:color w:val="000000"/>
          <w:lang w:val="fr-FR" w:eastAsia="fr-FR"/>
        </w:rPr>
        <w:t xml:space="preserve"> a engagée une dynamique d’énergie verte en lançant un programme ambitieux de développement des énergies renouvelables (EnR) et d’efficacité énergétique. Cette vision du gouvernement algérien s’appuie sur une stratégie axée sur la mise en valeur des ressources inépuisables comme le solaire et leur utilisation pour varier les sources d’énergie et préparer l’Algérie pour le future. Grâce à la combinaison des initiatives et des intelligences, l’Algérie s’engage dans une nouvelle ère énergétique durable </w:t>
      </w:r>
    </w:p>
    <w:p w:rsidR="00F16108" w:rsidRPr="00C80DC4" w:rsidRDefault="00F16108" w:rsidP="00C80DC4">
      <w:pPr>
        <w:spacing w:line="360" w:lineRule="auto"/>
        <w:rPr>
          <w:rFonts w:ascii="Times New Roman" w:eastAsia="Times New Roman" w:hAnsi="Times New Roman" w:cs="Times New Roman"/>
          <w:color w:val="000000"/>
          <w:sz w:val="24"/>
          <w:szCs w:val="24"/>
        </w:rPr>
      </w:pPr>
      <w:r w:rsidRPr="00F16108">
        <w:rPr>
          <w:rFonts w:ascii="Times New Roman" w:eastAsia="Times New Roman" w:hAnsi="Times New Roman" w:cs="Times New Roman"/>
          <w:color w:val="000000"/>
          <w:sz w:val="24"/>
          <w:szCs w:val="24"/>
        </w:rPr>
        <w:t>Le programme consiste à installer une puissance d’origine renouvelable de près de 22000 MW entre 2011 et 2030 dont 12 000 MW seront dédiés à couvrir la demande nationale en électricité et 10 000 MW à l’exportation. L’exportation de l’électricité est</w:t>
      </w:r>
      <w:r w:rsidR="00C80DC4">
        <w:rPr>
          <w:rFonts w:ascii="Times New Roman" w:eastAsia="Times New Roman" w:hAnsi="Times New Roman" w:cs="Times New Roman"/>
          <w:color w:val="000000"/>
          <w:sz w:val="24"/>
          <w:szCs w:val="24"/>
        </w:rPr>
        <w:t xml:space="preserve"> </w:t>
      </w:r>
      <w:r w:rsidRPr="00F16108">
        <w:rPr>
          <w:rFonts w:ascii="Times New Roman" w:eastAsia="Times New Roman" w:hAnsi="Times New Roman" w:cs="Times New Roman"/>
          <w:color w:val="000000"/>
        </w:rPr>
        <w:t xml:space="preserve">toutefois conditionnée par l’existence d’une garantie d’achat à long terme, de partenaires fiables et de financements </w:t>
      </w:r>
      <w:r w:rsidR="006F0400" w:rsidRPr="00F16108">
        <w:rPr>
          <w:rFonts w:ascii="Times New Roman" w:eastAsia="Times New Roman" w:hAnsi="Times New Roman" w:cs="Times New Roman"/>
          <w:color w:val="000000"/>
        </w:rPr>
        <w:t>extérieurs</w:t>
      </w:r>
      <w:r w:rsidR="006F0400">
        <w:rPr>
          <w:rFonts w:asciiTheme="majorBidi" w:eastAsia="Times New Roman" w:hAnsiTheme="majorBidi" w:cstheme="majorBidi"/>
          <w:color w:val="000000"/>
        </w:rPr>
        <w:t xml:space="preserve"> [</w:t>
      </w:r>
      <w:r w:rsidR="006F0400" w:rsidRPr="00CE58EE">
        <w:rPr>
          <w:rFonts w:asciiTheme="majorBidi" w:eastAsia="Times New Roman" w:hAnsiTheme="majorBidi" w:cstheme="majorBidi"/>
          <w:color w:val="000000"/>
        </w:rPr>
        <w:t>2]</w:t>
      </w:r>
      <w:r w:rsidRPr="00F16108">
        <w:rPr>
          <w:rFonts w:ascii="Times New Roman" w:eastAsia="Times New Roman" w:hAnsi="Times New Roman" w:cs="Times New Roman"/>
          <w:color w:val="000000"/>
        </w:rPr>
        <w:t>.</w:t>
      </w:r>
    </w:p>
    <w:p w:rsidR="00F16108" w:rsidRPr="00F16108" w:rsidRDefault="00F16108" w:rsidP="00F16108">
      <w:pPr>
        <w:pStyle w:val="Pa4"/>
        <w:spacing w:before="240" w:line="360" w:lineRule="auto"/>
        <w:ind w:firstLine="355"/>
        <w:jc w:val="both"/>
        <w:rPr>
          <w:rFonts w:ascii="Times New Roman" w:eastAsia="Times New Roman" w:hAnsi="Times New Roman" w:cs="Times New Roman"/>
          <w:color w:val="000000"/>
          <w:lang w:val="fr-FR" w:eastAsia="fr-FR"/>
        </w:rPr>
      </w:pPr>
      <w:r w:rsidRPr="00F16108">
        <w:rPr>
          <w:rFonts w:ascii="Times New Roman" w:eastAsia="Times New Roman" w:hAnsi="Times New Roman" w:cs="Times New Roman"/>
          <w:color w:val="000000"/>
          <w:lang w:val="fr-FR" w:eastAsia="fr-FR"/>
        </w:rPr>
        <w:lastRenderedPageBreak/>
        <w:t>A la faveur de ce programme, les énergies renouvelables se placent au cœur des politiques énergétique et économique menées par l’Algérie: d’ici 2030, environ 40% de la production d’électricité destinée à la consommation nationale sera d’origine renouvelable. En effet, l’Algérie compte se positionner comme un acteur majeur dans la production de l’électricité à partir du solaire photovoltaïque et du solaire thermique qui seront les moteurs d’un développement économique durable.</w:t>
      </w:r>
    </w:p>
    <w:p w:rsidR="00F16108" w:rsidRPr="00F16108" w:rsidRDefault="00F16108" w:rsidP="00F16108">
      <w:pPr>
        <w:pStyle w:val="Pa4"/>
        <w:spacing w:before="240" w:line="360" w:lineRule="auto"/>
        <w:ind w:firstLine="355"/>
        <w:jc w:val="both"/>
        <w:rPr>
          <w:rFonts w:ascii="Times New Roman" w:eastAsia="Times New Roman" w:hAnsi="Times New Roman" w:cs="Times New Roman"/>
          <w:color w:val="000000"/>
          <w:lang w:val="fr-FR" w:eastAsia="fr-FR"/>
        </w:rPr>
      </w:pPr>
      <w:r w:rsidRPr="00F16108">
        <w:rPr>
          <w:rFonts w:ascii="Times New Roman" w:eastAsia="Times New Roman" w:hAnsi="Times New Roman" w:cs="Times New Roman"/>
          <w:color w:val="000000"/>
          <w:lang w:val="fr-FR" w:eastAsia="fr-FR"/>
        </w:rPr>
        <w:t>Le potentiel national en énergies renouvelables étant fortement dominé par le solaire, l’Algérie considère cette énergie comme une opportunité et un levier de développement économique et social, notamment à travers l’implantation d’industries créatrices de richesse et d’emplois. Comparativement, les potentiels en éolien, en biomasse, en géothermie et en hydroélectricité sont beaucoup moins importants. Cela n’exclut pas pour autant le lancement de nombreux projets de réalisation de fermes éoliennes et la mise en œuvre de projets expérimentaux en biomasse et en géothermie</w:t>
      </w:r>
      <w:r w:rsidR="00E632F6">
        <w:rPr>
          <w:rFonts w:ascii="Times New Roman" w:eastAsia="Times New Roman" w:hAnsi="Times New Roman" w:cs="Times New Roman"/>
          <w:color w:val="000000"/>
          <w:lang w:val="fr-FR" w:eastAsia="fr-FR"/>
        </w:rPr>
        <w:t xml:space="preserve"> </w:t>
      </w:r>
      <w:r w:rsidR="00E632F6">
        <w:rPr>
          <w:rFonts w:asciiTheme="majorBidi" w:eastAsia="Times New Roman" w:hAnsiTheme="majorBidi" w:cstheme="majorBidi"/>
          <w:color w:val="000000"/>
          <w:lang w:val="fr-FR" w:eastAsia="fr-FR"/>
        </w:rPr>
        <w:t>[2]</w:t>
      </w:r>
      <w:r w:rsidRPr="00F16108">
        <w:rPr>
          <w:rFonts w:ascii="Times New Roman" w:eastAsia="Times New Roman" w:hAnsi="Times New Roman" w:cs="Times New Roman"/>
          <w:color w:val="000000"/>
          <w:lang w:val="fr-FR" w:eastAsia="fr-FR"/>
        </w:rPr>
        <w:t>.</w:t>
      </w:r>
    </w:p>
    <w:p w:rsidR="00F16108" w:rsidRPr="00F16108" w:rsidRDefault="00F16108" w:rsidP="00F16108">
      <w:pPr>
        <w:pStyle w:val="Style20"/>
        <w:widowControl/>
        <w:spacing w:before="120" w:line="360" w:lineRule="auto"/>
        <w:rPr>
          <w:rStyle w:val="FontStyle301"/>
          <w:sz w:val="24"/>
          <w:szCs w:val="24"/>
        </w:rPr>
      </w:pPr>
      <w:r w:rsidRPr="00F16108">
        <w:rPr>
          <w:rStyle w:val="FontStyle301"/>
          <w:sz w:val="24"/>
          <w:szCs w:val="24"/>
        </w:rPr>
        <w:t>Toutefois, l'irradiation solaire est l'un des paramètres météorologiques les plus difficiles à estimer du fait qu'elle est fonction de plusieurs paramètres géographiques et astronomiques et tributaire des conditions météorologiques et atmosphériques.</w:t>
      </w:r>
    </w:p>
    <w:p w:rsidR="00F16108" w:rsidRPr="00F16108" w:rsidRDefault="00F16108" w:rsidP="00F16108">
      <w:pPr>
        <w:pStyle w:val="Style20"/>
        <w:widowControl/>
        <w:spacing w:before="120" w:line="360" w:lineRule="auto"/>
        <w:rPr>
          <w:rStyle w:val="FontStyle301"/>
          <w:sz w:val="24"/>
          <w:szCs w:val="24"/>
        </w:rPr>
      </w:pPr>
      <w:r w:rsidRPr="00F16108">
        <w:rPr>
          <w:rStyle w:val="FontStyle301"/>
          <w:sz w:val="24"/>
          <w:szCs w:val="24"/>
        </w:rPr>
        <w:t>Ça n'a pas empêché quand même que plusieurs modèles d'estimation sur différentes échelles temporaires (heure, jour, et mois) à partir des données météorologiques les plus aisément disponibles soient développées.</w:t>
      </w:r>
    </w:p>
    <w:p w:rsidR="00F16108" w:rsidRPr="00F16108" w:rsidRDefault="00F16108" w:rsidP="00F16108">
      <w:pPr>
        <w:pStyle w:val="Style20"/>
        <w:widowControl/>
        <w:spacing w:before="115" w:line="360" w:lineRule="auto"/>
        <w:ind w:right="14" w:firstLine="355"/>
        <w:rPr>
          <w:rStyle w:val="FontStyle301"/>
          <w:sz w:val="24"/>
          <w:szCs w:val="24"/>
        </w:rPr>
      </w:pPr>
      <w:r w:rsidRPr="00F16108">
        <w:rPr>
          <w:rStyle w:val="FontStyle301"/>
          <w:sz w:val="24"/>
          <w:szCs w:val="24"/>
        </w:rPr>
        <w:t>D’un coté, pour fournir l'énergie continuellement durant toute l'année, un système photovoltaïque doit être donc correctement dimensionné. Ce qui exige une étude précise du besoin électrique, une évaluation et une optimisation de l'irradiation solaire reçue sur le plan des capteurs photovoltaïques.</w:t>
      </w:r>
    </w:p>
    <w:p w:rsidR="00F16108" w:rsidRPr="00F16108" w:rsidRDefault="00F16108" w:rsidP="00C80DC4">
      <w:pPr>
        <w:spacing w:line="360" w:lineRule="auto"/>
        <w:rPr>
          <w:rStyle w:val="FontStyle301"/>
          <w:sz w:val="24"/>
          <w:szCs w:val="24"/>
        </w:rPr>
      </w:pPr>
      <w:r w:rsidRPr="00F16108">
        <w:rPr>
          <w:rStyle w:val="FontStyle301"/>
          <w:rFonts w:eastAsia="Times New Roman"/>
          <w:sz w:val="24"/>
          <w:szCs w:val="24"/>
        </w:rPr>
        <w:t>D'un autre coté les réseaux de neurones artificiels ont attiré l'attention d'un grand nombre de chercheurs dans le domaine des énergies renouvelables, et en particulier pour la prédiction de données météorologiques telles que l'irradiation solaire. En effet, beaucoup de travaux de recherche ont démontré la capacité des réseaux de neurones à prédire les données météorologiques. Ils ont démontré qu'ils sont plus appropriés, et donnent de</w:t>
      </w:r>
      <w:r w:rsidR="00C80DC4">
        <w:rPr>
          <w:rStyle w:val="FontStyle301"/>
          <w:rFonts w:eastAsia="Times New Roman"/>
          <w:sz w:val="24"/>
          <w:szCs w:val="24"/>
        </w:rPr>
        <w:t xml:space="preserve"> </w:t>
      </w:r>
      <w:r w:rsidRPr="00F16108">
        <w:rPr>
          <w:rStyle w:val="FontStyle301"/>
          <w:sz w:val="24"/>
          <w:szCs w:val="24"/>
        </w:rPr>
        <w:t>meilleurs résultats comparés aux méthodes d'approximation conventionnelles proposées par d'autres chercheurs, pour la prédiction de l'irradiation solaire</w:t>
      </w:r>
      <w:r w:rsidR="00D12718">
        <w:rPr>
          <w:rStyle w:val="FontStyle301"/>
          <w:sz w:val="24"/>
          <w:szCs w:val="24"/>
        </w:rPr>
        <w:t xml:space="preserve"> </w:t>
      </w:r>
      <w:r w:rsidR="00D12718" w:rsidRPr="00826926">
        <w:rPr>
          <w:rStyle w:val="FontStyle301"/>
        </w:rPr>
        <w:t>[</w:t>
      </w:r>
      <w:r w:rsidR="00D12718">
        <w:rPr>
          <w:rStyle w:val="FontStyle301"/>
        </w:rPr>
        <w:t>3]</w:t>
      </w:r>
      <w:r w:rsidRPr="00F16108">
        <w:rPr>
          <w:rStyle w:val="FontStyle301"/>
          <w:sz w:val="24"/>
          <w:szCs w:val="24"/>
        </w:rPr>
        <w:t>.</w:t>
      </w:r>
    </w:p>
    <w:p w:rsidR="0056761F" w:rsidRDefault="0056761F" w:rsidP="00F16108">
      <w:pPr>
        <w:pStyle w:val="Style20"/>
        <w:widowControl/>
        <w:spacing w:before="115" w:line="360" w:lineRule="auto"/>
        <w:ind w:firstLine="350"/>
        <w:rPr>
          <w:rStyle w:val="FontStyle301"/>
          <w:sz w:val="24"/>
          <w:szCs w:val="24"/>
        </w:rPr>
      </w:pPr>
    </w:p>
    <w:p w:rsidR="00F16108" w:rsidRPr="00F16108" w:rsidRDefault="00F16108" w:rsidP="00F16108">
      <w:pPr>
        <w:pStyle w:val="Style20"/>
        <w:widowControl/>
        <w:spacing w:before="115" w:line="360" w:lineRule="auto"/>
        <w:ind w:firstLine="350"/>
        <w:rPr>
          <w:rStyle w:val="FontStyle301"/>
          <w:sz w:val="24"/>
          <w:szCs w:val="24"/>
        </w:rPr>
      </w:pPr>
      <w:r w:rsidRPr="00F16108">
        <w:rPr>
          <w:rStyle w:val="FontStyle301"/>
          <w:sz w:val="24"/>
          <w:szCs w:val="24"/>
        </w:rPr>
        <w:lastRenderedPageBreak/>
        <w:t>L'avantage de la méthodologie proposée dans ce mémoire (estimation par les réseaux de neurones artificiels) est qu'elle offre la possibilité d'exploiter implicitement les informations associées au problème, sans avoir une connaissance a priori de la relation reliant les différentes variables d’entrée à l'irradiation solaire.</w:t>
      </w:r>
    </w:p>
    <w:p w:rsidR="00F16108" w:rsidRPr="00035CDE" w:rsidRDefault="00F16108" w:rsidP="00D113CB">
      <w:pPr>
        <w:pStyle w:val="Style20"/>
        <w:widowControl/>
        <w:spacing w:before="110" w:line="360" w:lineRule="auto"/>
        <w:ind w:firstLine="0"/>
        <w:rPr>
          <w:rStyle w:val="FontStyle301"/>
          <w:color w:val="FF0000"/>
          <w:sz w:val="24"/>
          <w:szCs w:val="24"/>
        </w:rPr>
      </w:pPr>
      <w:r w:rsidRPr="00F16108">
        <w:t xml:space="preserve">Le problème posé </w:t>
      </w:r>
      <w:r w:rsidRPr="00F16108">
        <w:rPr>
          <w:rStyle w:val="FontStyle301"/>
          <w:sz w:val="24"/>
          <w:szCs w:val="24"/>
        </w:rPr>
        <w:t>est d'utiliser les réseaux de neurones artificiels pour prédire l'irradiation solaire. A cet effet, nous nous sommes intéressés à l'application des réseaux de neurones artificiels pour trouver le modèle le plus performant permettant de prédire l'irradiation solaire globale</w:t>
      </w:r>
      <w:r w:rsidRPr="00035CDE">
        <w:rPr>
          <w:rStyle w:val="FontStyle301"/>
          <w:color w:val="FF0000"/>
          <w:sz w:val="24"/>
          <w:szCs w:val="24"/>
        </w:rPr>
        <w:t>.</w:t>
      </w:r>
    </w:p>
    <w:p w:rsidR="00F16108" w:rsidRPr="00F16108" w:rsidRDefault="00F16108" w:rsidP="00F16108">
      <w:pPr>
        <w:pStyle w:val="Style21"/>
        <w:widowControl/>
        <w:spacing w:line="360" w:lineRule="auto"/>
        <w:rPr>
          <w:rStyle w:val="FontStyle301"/>
          <w:sz w:val="24"/>
          <w:szCs w:val="24"/>
        </w:rPr>
      </w:pPr>
    </w:p>
    <w:p w:rsidR="00F16108" w:rsidRPr="00F16108" w:rsidRDefault="00F16108" w:rsidP="00F16108">
      <w:pPr>
        <w:pStyle w:val="Style21"/>
        <w:widowControl/>
        <w:spacing w:line="360" w:lineRule="auto"/>
        <w:rPr>
          <w:rStyle w:val="FontStyle301"/>
          <w:sz w:val="24"/>
          <w:szCs w:val="24"/>
        </w:rPr>
      </w:pPr>
      <w:r w:rsidRPr="00F16108">
        <w:rPr>
          <w:rStyle w:val="FontStyle301"/>
          <w:sz w:val="24"/>
          <w:szCs w:val="24"/>
        </w:rPr>
        <w:t>Le travail sera présenté comme suit :</w:t>
      </w:r>
    </w:p>
    <w:p w:rsidR="00F16108" w:rsidRPr="00F16108" w:rsidRDefault="00F16108" w:rsidP="00F16108">
      <w:pPr>
        <w:pStyle w:val="Style20"/>
        <w:widowControl/>
        <w:spacing w:before="144" w:line="360" w:lineRule="auto"/>
        <w:ind w:firstLine="0"/>
        <w:rPr>
          <w:rStyle w:val="FontStyle301"/>
          <w:sz w:val="24"/>
          <w:szCs w:val="24"/>
        </w:rPr>
      </w:pPr>
      <w:r w:rsidRPr="00F16108">
        <w:rPr>
          <w:rStyle w:val="FontStyle301"/>
          <w:sz w:val="24"/>
          <w:szCs w:val="24"/>
        </w:rPr>
        <w:t>Dans le premier chapitre, on donne des rappels sur l'énergie solaire, on étudie les différents paramètres géographiques et astronomiques pouvant influencer l'intensité de l'irradiation solaire reçue au niveau du sol et on termine par une description sommaire du système photovoltaïque.</w:t>
      </w:r>
    </w:p>
    <w:p w:rsidR="00F16108" w:rsidRPr="00F16108" w:rsidRDefault="00F16108" w:rsidP="00F16108">
      <w:pPr>
        <w:pStyle w:val="Style20"/>
        <w:widowControl/>
        <w:spacing w:before="110" w:line="360" w:lineRule="auto"/>
        <w:ind w:firstLine="355"/>
        <w:rPr>
          <w:rStyle w:val="FontStyle301"/>
          <w:sz w:val="24"/>
          <w:szCs w:val="24"/>
        </w:rPr>
      </w:pPr>
      <w:r w:rsidRPr="00F16108">
        <w:rPr>
          <w:rStyle w:val="FontStyle301"/>
          <w:sz w:val="24"/>
          <w:szCs w:val="24"/>
        </w:rPr>
        <w:t>Dans le second chapitre, on décrit les réseaux de neurones artificiels. Une attention plus particulière sera adressée aux perceptrons multicouche et aux foncions à radial de base ainsi que leur algorithmes d'apprentissage.</w:t>
      </w:r>
    </w:p>
    <w:p w:rsidR="00F16108" w:rsidRPr="00F16108" w:rsidRDefault="00F16108" w:rsidP="00F16108">
      <w:pPr>
        <w:pStyle w:val="Style20"/>
        <w:widowControl/>
        <w:spacing w:before="101" w:line="360" w:lineRule="auto"/>
        <w:rPr>
          <w:rStyle w:val="FontStyle301"/>
          <w:sz w:val="24"/>
          <w:szCs w:val="24"/>
        </w:rPr>
      </w:pPr>
      <w:r w:rsidRPr="00F16108">
        <w:rPr>
          <w:rStyle w:val="FontStyle301"/>
          <w:sz w:val="24"/>
          <w:szCs w:val="24"/>
        </w:rPr>
        <w:t>L'application des réseaux de neurones à la prédiction de l'irradiation solaire globale sera l'objectif du troisième chapitre.</w:t>
      </w:r>
    </w:p>
    <w:p w:rsidR="00F16108" w:rsidRPr="00F16108" w:rsidRDefault="00F16108" w:rsidP="00F16108">
      <w:pPr>
        <w:pStyle w:val="Style20"/>
        <w:widowControl/>
        <w:spacing w:before="115" w:line="360" w:lineRule="auto"/>
        <w:ind w:right="14" w:firstLine="0"/>
      </w:pPr>
      <w:r w:rsidRPr="00F16108">
        <w:rPr>
          <w:rStyle w:val="FontStyle301"/>
          <w:sz w:val="24"/>
          <w:szCs w:val="24"/>
        </w:rPr>
        <w:t>Une conclusion sur les résultats obtenus et les futures perspectives de ce travail achèvent ce mémoire.</w:t>
      </w:r>
    </w:p>
    <w:p w:rsidR="00F16108" w:rsidRPr="00F16108" w:rsidRDefault="00F16108" w:rsidP="00F16108">
      <w:pPr>
        <w:spacing w:line="360" w:lineRule="auto"/>
        <w:rPr>
          <w:sz w:val="24"/>
          <w:szCs w:val="24"/>
        </w:rPr>
      </w:pPr>
    </w:p>
    <w:sectPr w:rsidR="00F16108" w:rsidRPr="00F16108" w:rsidSect="0015431D">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A10" w:rsidRDefault="005E5A10" w:rsidP="00F16108">
      <w:pPr>
        <w:spacing w:after="0" w:line="240" w:lineRule="auto"/>
      </w:pPr>
      <w:r>
        <w:separator/>
      </w:r>
    </w:p>
  </w:endnote>
  <w:endnote w:type="continuationSeparator" w:id="1">
    <w:p w:rsidR="005E5A10" w:rsidRDefault="005E5A10" w:rsidP="00F161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005"/>
      <w:docPartObj>
        <w:docPartGallery w:val="Page Numbers (Bottom of Page)"/>
        <w:docPartUnique/>
      </w:docPartObj>
    </w:sdtPr>
    <w:sdtContent>
      <w:p w:rsidR="004A3B97" w:rsidRDefault="001E16DC">
        <w:pPr>
          <w:pStyle w:val="Pieddepage"/>
          <w:jc w:val="center"/>
        </w:pPr>
        <w:fldSimple w:instr=" PAGE   \* MERGEFORMAT ">
          <w:r w:rsidR="0056761F">
            <w:rPr>
              <w:noProof/>
            </w:rPr>
            <w:t>2</w:t>
          </w:r>
        </w:fldSimple>
      </w:p>
    </w:sdtContent>
  </w:sdt>
  <w:p w:rsidR="004A3B97" w:rsidRDefault="004A3B9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A10" w:rsidRDefault="005E5A10" w:rsidP="00F16108">
      <w:pPr>
        <w:spacing w:after="0" w:line="240" w:lineRule="auto"/>
      </w:pPr>
      <w:r>
        <w:separator/>
      </w:r>
    </w:p>
  </w:footnote>
  <w:footnote w:type="continuationSeparator" w:id="1">
    <w:p w:rsidR="005E5A10" w:rsidRDefault="005E5A10" w:rsidP="00F161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eastAsia="Times New Roman" w:hAnsi="Cambria" w:cs="Times New Roman"/>
        <w:sz w:val="24"/>
        <w:szCs w:val="24"/>
      </w:rPr>
      <w:alias w:val="Titre"/>
      <w:id w:val="77738743"/>
      <w:placeholder>
        <w:docPart w:val="5C6896D9BB0141D19C6B75323CA14C76"/>
      </w:placeholder>
      <w:dataBinding w:prefixMappings="xmlns:ns0='http://schemas.openxmlformats.org/package/2006/metadata/core-properties' xmlns:ns1='http://purl.org/dc/elements/1.1/'" w:xpath="/ns0:coreProperties[1]/ns1:title[1]" w:storeItemID="{6C3C8BC8-F283-45AE-878A-BAB7291924A1}"/>
      <w:text/>
    </w:sdtPr>
    <w:sdtContent>
      <w:p w:rsidR="00E50271" w:rsidRDefault="00E50271" w:rsidP="00E50271">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Cambria" w:eastAsia="Times New Roman" w:hAnsi="Cambria" w:cs="Times New Roman"/>
            <w:sz w:val="24"/>
            <w:szCs w:val="24"/>
          </w:rPr>
          <w:t xml:space="preserve">                                                                                                                                </w:t>
        </w:r>
        <w:r w:rsidRPr="00E50271">
          <w:rPr>
            <w:rFonts w:ascii="Cambria" w:eastAsia="Times New Roman" w:hAnsi="Cambria" w:cs="Times New Roman"/>
            <w:sz w:val="24"/>
            <w:szCs w:val="24"/>
          </w:rPr>
          <w:t>Introduction générale</w:t>
        </w:r>
      </w:p>
    </w:sdtContent>
  </w:sdt>
  <w:p w:rsidR="00E50271" w:rsidRDefault="00E50271">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6108"/>
    <w:rsid w:val="00035CDE"/>
    <w:rsid w:val="0015431D"/>
    <w:rsid w:val="001B20D9"/>
    <w:rsid w:val="001C25A0"/>
    <w:rsid w:val="001E16DC"/>
    <w:rsid w:val="004A3B97"/>
    <w:rsid w:val="004F3F56"/>
    <w:rsid w:val="0056761F"/>
    <w:rsid w:val="00567FA3"/>
    <w:rsid w:val="005E5A10"/>
    <w:rsid w:val="006F0400"/>
    <w:rsid w:val="007A661C"/>
    <w:rsid w:val="008345CE"/>
    <w:rsid w:val="00B16FDE"/>
    <w:rsid w:val="00C80DC4"/>
    <w:rsid w:val="00D113CB"/>
    <w:rsid w:val="00D12718"/>
    <w:rsid w:val="00E50271"/>
    <w:rsid w:val="00E632F6"/>
    <w:rsid w:val="00F16108"/>
    <w:rsid w:val="00F7143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FD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0">
    <w:name w:val="Style20"/>
    <w:basedOn w:val="Normal"/>
    <w:uiPriority w:val="99"/>
    <w:rsid w:val="00F16108"/>
    <w:pPr>
      <w:widowControl w:val="0"/>
      <w:autoSpaceDE w:val="0"/>
      <w:autoSpaceDN w:val="0"/>
      <w:adjustRightInd w:val="0"/>
      <w:spacing w:after="0" w:line="415" w:lineRule="exact"/>
      <w:ind w:firstLine="360"/>
      <w:jc w:val="both"/>
    </w:pPr>
    <w:rPr>
      <w:rFonts w:ascii="Times New Roman" w:eastAsia="Times New Roman" w:hAnsi="Times New Roman" w:cs="Times New Roman"/>
      <w:sz w:val="24"/>
      <w:szCs w:val="24"/>
    </w:rPr>
  </w:style>
  <w:style w:type="character" w:customStyle="1" w:styleId="FontStyle301">
    <w:name w:val="Font Style301"/>
    <w:basedOn w:val="Policepardfaut"/>
    <w:uiPriority w:val="99"/>
    <w:rsid w:val="00F16108"/>
    <w:rPr>
      <w:rFonts w:ascii="Times New Roman" w:hAnsi="Times New Roman" w:cs="Times New Roman"/>
      <w:color w:val="000000"/>
      <w:sz w:val="20"/>
      <w:szCs w:val="20"/>
      <w:lang w:bidi="ar-SA"/>
    </w:rPr>
  </w:style>
  <w:style w:type="paragraph" w:customStyle="1" w:styleId="Pa4">
    <w:name w:val="Pa4"/>
    <w:basedOn w:val="Normal"/>
    <w:next w:val="Normal"/>
    <w:uiPriority w:val="99"/>
    <w:rsid w:val="00F16108"/>
    <w:pPr>
      <w:autoSpaceDE w:val="0"/>
      <w:autoSpaceDN w:val="0"/>
      <w:adjustRightInd w:val="0"/>
      <w:spacing w:after="0" w:line="361" w:lineRule="atLeast"/>
    </w:pPr>
    <w:rPr>
      <w:rFonts w:ascii="Myriad Pro" w:eastAsia="Calibri" w:hAnsi="Myriad Pro" w:cs="Arial"/>
      <w:sz w:val="24"/>
      <w:szCs w:val="24"/>
      <w:lang w:val="en-US" w:eastAsia="en-US"/>
    </w:rPr>
  </w:style>
  <w:style w:type="paragraph" w:customStyle="1" w:styleId="Style21">
    <w:name w:val="Style21"/>
    <w:basedOn w:val="Normal"/>
    <w:uiPriority w:val="99"/>
    <w:rsid w:val="00F16108"/>
    <w:pPr>
      <w:widowControl w:val="0"/>
      <w:autoSpaceDE w:val="0"/>
      <w:autoSpaceDN w:val="0"/>
      <w:adjustRightInd w:val="0"/>
      <w:spacing w:after="0" w:line="403" w:lineRule="exact"/>
      <w:jc w:val="both"/>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16108"/>
    <w:pPr>
      <w:tabs>
        <w:tab w:val="center" w:pos="4153"/>
        <w:tab w:val="right" w:pos="8306"/>
      </w:tabs>
      <w:spacing w:after="0" w:line="240" w:lineRule="auto"/>
    </w:pPr>
  </w:style>
  <w:style w:type="character" w:customStyle="1" w:styleId="En-tteCar">
    <w:name w:val="En-tête Car"/>
    <w:basedOn w:val="Policepardfaut"/>
    <w:link w:val="En-tte"/>
    <w:uiPriority w:val="99"/>
    <w:rsid w:val="00F16108"/>
  </w:style>
  <w:style w:type="paragraph" w:styleId="Pieddepage">
    <w:name w:val="footer"/>
    <w:basedOn w:val="Normal"/>
    <w:link w:val="PieddepageCar"/>
    <w:uiPriority w:val="99"/>
    <w:unhideWhenUsed/>
    <w:rsid w:val="00F1610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16108"/>
  </w:style>
  <w:style w:type="paragraph" w:customStyle="1" w:styleId="Style23">
    <w:name w:val="Style23"/>
    <w:basedOn w:val="Normal"/>
    <w:uiPriority w:val="99"/>
    <w:rsid w:val="00F161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5">
    <w:name w:val="Font Style295"/>
    <w:basedOn w:val="Policepardfaut"/>
    <w:uiPriority w:val="99"/>
    <w:rsid w:val="00F16108"/>
    <w:rPr>
      <w:rFonts w:ascii="Times New Roman" w:hAnsi="Times New Roman" w:cs="Times New Roman"/>
      <w:b/>
      <w:bCs/>
      <w:color w:val="000000"/>
      <w:sz w:val="26"/>
      <w:szCs w:val="26"/>
      <w:lang w:bidi="ar-SA"/>
    </w:rPr>
  </w:style>
  <w:style w:type="paragraph" w:styleId="Textedebulles">
    <w:name w:val="Balloon Text"/>
    <w:basedOn w:val="Normal"/>
    <w:link w:val="TextedebullesCar"/>
    <w:uiPriority w:val="99"/>
    <w:semiHidden/>
    <w:unhideWhenUsed/>
    <w:rsid w:val="00E5027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02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6896D9BB0141D19C6B75323CA14C76"/>
        <w:category>
          <w:name w:val="Général"/>
          <w:gallery w:val="placeholder"/>
        </w:category>
        <w:types>
          <w:type w:val="bbPlcHdr"/>
        </w:types>
        <w:behaviors>
          <w:behavior w:val="content"/>
        </w:behaviors>
        <w:guid w:val="{709DF0F3-96E1-4748-A598-6FC8CF6DBFB8}"/>
      </w:docPartPr>
      <w:docPartBody>
        <w:p w:rsidR="001B3DF4" w:rsidRDefault="00574507" w:rsidP="00574507">
          <w:pPr>
            <w:pStyle w:val="5C6896D9BB0141D19C6B75323CA14C7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74507"/>
    <w:rsid w:val="001B3DF4"/>
    <w:rsid w:val="00574507"/>
    <w:rsid w:val="005A5558"/>
    <w:rsid w:val="00A77B5D"/>
    <w:rsid w:val="00F8257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F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C6896D9BB0141D19C6B75323CA14C76">
    <w:name w:val="5C6896D9BB0141D19C6B75323CA14C76"/>
    <w:rsid w:val="0057450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3E801-D19E-4BCE-99F1-52B4EB1E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965</Words>
  <Characters>5313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Introduction générale</vt:lpstr>
    </vt:vector>
  </TitlesOfParts>
  <Company/>
  <LinksUpToDate>false</LinksUpToDate>
  <CharactersWithSpaces>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Introduction générale</dc:title>
  <dc:subject/>
  <dc:creator>SAID</dc:creator>
  <cp:keywords/>
  <dc:description/>
  <cp:lastModifiedBy>SAID</cp:lastModifiedBy>
  <cp:revision>15</cp:revision>
  <cp:lastPrinted>2012-06-04T06:38:00Z</cp:lastPrinted>
  <dcterms:created xsi:type="dcterms:W3CDTF">2012-06-04T06:19:00Z</dcterms:created>
  <dcterms:modified xsi:type="dcterms:W3CDTF">2012-06-29T22:58:00Z</dcterms:modified>
</cp:coreProperties>
</file>